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Regulamin postępowania zakupowego </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 przeprowadzenie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Prac konserwatorsko-restauratorskich ołtarza bocznego w kościele cmentarnym p.w. Świętej Trójcy w Mogielnicy”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 Postanowienia ogólne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Niniejszy Regulamin określa zasady przeprowadzania postępowania zakupowego na przeprowadzenie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prac konserwatorsko-restauratorskich ołtarza bocznego w kościele cmentarnym p.w. Świętej Trójcy w Mogielnicy</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finansowanych z  Rządowego Programu Odbudowy Zabytków. </w:t>
      </w:r>
    </w:p>
    <w:p w:rsidR="00000000" w:rsidDel="00000000" w:rsidP="00000000" w:rsidRDefault="00000000" w:rsidRPr="00000000" w14:paraId="000000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Postępowanie zakupowe ogłasza, organizuje i przeprowadza Parafia </w:t>
      </w:r>
      <w:r w:rsidDel="00000000" w:rsidR="00000000" w:rsidRPr="00000000">
        <w:rPr>
          <w:rFonts w:ascii="Arial" w:cs="Arial" w:eastAsia="Arial" w:hAnsi="Arial"/>
          <w:sz w:val="22"/>
          <w:szCs w:val="22"/>
          <w:rtl w:val="0"/>
        </w:rPr>
        <w:t xml:space="preserve">św. Floriana Męczennika, pl. Poświętne 12 05-640 Mogielnica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Organizator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Parafia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Postępowanie zakupowe prowadzone na podstawie niniejszego Regulaminu oznaczone będzie sygnaturą: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Prz. [Lp.] / [rok]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Oferenci zobowiązani są posługiwać się przedmiotową sygnaturą we wszystkich pismach kierowanych do Organizatora Przetargu.</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 Podstawa prawna przeprowadzenia postępowania zakupowego</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Postępowanie zakupowe zostanie przeprowadzone w formie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przetargu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podstawie przepisów ustawy z dnia 23 kwietnia 1964 r. Kodeks cywilny (Dz. U. z 18 maja 1964 r., Nr 16, poz. 93 ze zm.) oraz niniejszego Regulaminu oraz uchwały Rady Ministrów          nr 232/2022 z dnia 23 listopada 2022 r. w sprawie ustanowienia Rządowego Programu Ochrony Zabytków (RM-06111-230-22) (dalej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„Przetarg”)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Czynności związane z niniejszym Przetargiem wykonuje Organizator Przetargu lub osoba przed Organizatora Przetargu upoważniona. </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3 Przedmiot Przetargu</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Przedmiotem Przetargu jest wyłonienie wykonawcy </w:t>
      </w:r>
      <w:r w:rsidDel="00000000" w:rsidR="00000000" w:rsidRPr="00000000">
        <w:rPr>
          <w:rFonts w:ascii="Arial" w:cs="Arial" w:eastAsia="Arial" w:hAnsi="Arial"/>
          <w:sz w:val="22"/>
          <w:szCs w:val="22"/>
          <w:rtl w:val="0"/>
        </w:rPr>
        <w:t xml:space="preserve">na </w:t>
      </w:r>
      <w:r w:rsidDel="00000000" w:rsidR="00000000" w:rsidRPr="00000000">
        <w:rPr>
          <w:rFonts w:ascii="Arial" w:cs="Arial" w:eastAsia="Arial" w:hAnsi="Arial"/>
          <w:b w:val="1"/>
          <w:sz w:val="22"/>
          <w:szCs w:val="22"/>
          <w:rtl w:val="0"/>
        </w:rPr>
        <w:t xml:space="preserve">wykonanie </w:t>
      </w:r>
      <w:r w:rsidDel="00000000" w:rsidR="00000000" w:rsidRPr="00000000">
        <w:rPr>
          <w:rFonts w:ascii="Arial" w:cs="Arial" w:eastAsia="Arial" w:hAnsi="Arial"/>
          <w:b w:val="1"/>
          <w:sz w:val="22"/>
          <w:szCs w:val="22"/>
          <w:rtl w:val="0"/>
        </w:rPr>
        <w:t xml:space="preserve">Prac konserwatorsko-restauratorskich ołtarza bocznego w kościele cmentarnym p.w. Świętej Trójcy w Mogielnicy</w:t>
      </w:r>
      <w:r w:rsidDel="00000000" w:rsidR="00000000" w:rsidRPr="00000000">
        <w:rPr>
          <w:rFonts w:ascii="Arial" w:cs="Arial" w:eastAsia="Arial" w:hAnsi="Arial"/>
          <w:sz w:val="22"/>
          <w:szCs w:val="22"/>
          <w:rtl w:val="0"/>
        </w:rPr>
        <w:t xml:space="preserve">. Obiekt wpisany został na listę zabytków dnia 30.05.1996, nr rej. 147/b/96, i jako obiekt zabytkowy objęty jest opieką i urzędu mazowieckiego wojewódzkiego konserwatora zabytków, delegatura radomska. Zabytek będący obiektem prac konserwatorskich, których dotyczy przetarg, znajduje się w nawie kościoła cmentarnego p.w. Świętej Trójcy w Mogielnicy, po lewej stronie od ołtarza głównego. Pochodzi prawdopodobnie z XVIII wieku. Jest to trójpoziomowa szafa ołtarzowa z niezależną mensą, o konstrukcji drewnianej, polichromowanej, z dekoracją malarską i pozłotniczą. Całość formą nawiązuje do baroku. Składa się z podstawy z Mensą, stołem ołtarzowym o formie cebulastej; predelli, części centralnej z obrazem Adoracji Matki Bożej (obraz nie jest przedmiotem prac konserwatorskich , których dotyczy przetarg) oraz obrazem pełniącym funkcję zasuwy przedstawiającym św. Antoniego (obraz po konserwacji znajduje się czasowo na plebanii w Parafii św. Floriana Męczennika w Mogielnicy i nie jest przedmiotem prac konserwatorskich, których dotyczy przetarg), predella zdobiona jest dwoma kolumnami oraz czterema pilastrami o kapitelach korynckich i zwieńczona gzymsem łamanym o bogatym profilu; oraz korona wieńcząca z obrazem Stygmatyzacji św. Franciszka (obraz nie jest przedmiotem prac konserwatorskich, których dotyczy przetarg), zwieńczenie zdobią dwa spływy ślimakowe a wieńczy wąski gzyms w łuku koszowym. („Zabytek”). Szczegółowy program prac został zatwierdzony i jest załączony do dokumentacji przetargowej. Badania datujące budowy i składu warstw pierwotnych i wtórnych, analiza stratygrafii warstw pierwotnych i wtórnych malatury oraz zapraw, badania dendrologiczne konstrukcji drewnianej ołtarza, muszą być zlecone osobom posiadającym specjalistyczne uprawnienia. Prace konserwatorskie przy powyższym obiekcie muszą być przeprowadzone z zachowaniem najwyższych standardów, materiałami o właściwej specyfikacji i atestach (dane zawarte w dokumentacji przetargowej), przez specjalistę konserwatora dzieł sztuki z co najmniej 5 letnim udokumentowanym doświadczeniem w zakresie konserwacji malarstwa sztalugowego i rzeźby polichromowanej drewnianej, pod nadzorem profesorskim z dziedziny konserwacji i restauracji malarstwa sztalugowego.</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Oglądanie Zabytku jest możliwe po uprzednim uzgodnieniu terminu z przedstawicielem Organizatora Przetargu.</w:t>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 Warunki i zasady uczestnictwa w Przetargu</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Przetargu mogą brać udział osoby fizyczne, osoby prawne oraz jednostki organizacyjne nieposiadające osobowości prawnej, którym ustawa przyznaje zdolność prawną, które złożą ofertę spełniającą wymogi przewidziane niniejszym Regulaminem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Oferenci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którzy spełniają warunki udziału w Przetargu wskazane w ogłoszeniu o przetargu. </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Oferenci zobowiązani są do przesłania pocztą pisemnych ofert w terminie i na adres określony w ogłoszeniu o Przetargu.</w:t>
      </w:r>
    </w:p>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Oferenci są zobowiązani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przeprowadzenia wizji lokalnej przez Wykonawcę oraz sprawdzenia dokumentacji projektowej zadania inwestycyjnego.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Potwierdzenie dokonania wizji lokalnej i zapoznania się z dokumentacją jest warunkiem złożenia prawidłowej oferty. </w:t>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Koperta z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ofertą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wg wzoru stanowiącego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załącznik nr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ogłoszenia o przetargu musi być zaklejona w sposób uniemożliwiający zapoznanie się z nią bez otwarcia koperty oraz w sposób wyłączający możliwość otwarcia i zamknięcia koperty bez pozostawienia śladów po otwarciu. Oferta powinna być opatrzona sygnaturą Przetargu.</w:t>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Pisemne oferty powinny zawierać:</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imię i nazwisko albo nazwę (firmę) Oferenta,</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 (siedzibę) Oferenta,</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datę sporządzenia oferty,</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oświadczenie, że oferent zapoznał się z niniejszym Regulaminem oraz ogłoszeniem, zrozumiał ich treść i przyjmuje warunki w nich określone bez zastrzeżeń oraz zobowiązuje się do ich przestrzegania,</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oferowane wynagrodzenie za wykonanie zadania inwestycyjnego,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oświadczenia o spełnieniu warunków udziału w przetargu,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oświadczenia Oferenta o spełnieniu warunków udziału w postępowaniu zakupowym.</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Wszystkie dokumenty Oferent zobowiązany jest przedkładać w oryginałach lub kopiach poświadczonych za zgodność z oryginałem przez składającego ofertę lub osobę działającą w jego imieniu. </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Zamawiający zastrzega sobie prawo do wystąpienia z zapytaniem dotyczącym dodatkowych informacji, dokumentów lub wyjaśnień w szczególności w związku z weryfikacją oświadczeń złożonych przez Wykonawców.</w:t>
      </w:r>
    </w:p>
    <w:p w:rsidR="00000000" w:rsidDel="00000000" w:rsidP="00000000" w:rsidRDefault="00000000" w:rsidRPr="00000000" w14:paraId="000000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może według własnego uznania, w tym w szczególności, lecz nie wyłącznie, gdy:</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276"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 jest niekompletna; lub </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276"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spełnia wymogów określonych w niniejszym Regulaminie; lub</w:t>
      </w:r>
    </w:p>
    <w:p w:rsidR="00000000" w:rsidDel="00000000" w:rsidP="00000000" w:rsidRDefault="00000000" w:rsidRPr="00000000" w14:paraId="0000002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276"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gdy warunki w niej zamieszczone wymagają wyjaśnienia lub doprecyzowania;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wezwać Oferenta do uzupełnienia, doprecyzowania lub wyjaśnienia oferty, w terminie oznaczonym w takim wezwaniu.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Każdy z Oferentów (w tym Oferenci, których oferty nie zostały wybrane) ponosi we własnym zakresie koszty własnej obsługi prawnej oraz inne swoje koszty związane z uczestnictwem w Przetargu, w szczególności koszty związane z przygotowaniem dokumentów koniecznych do złożenia oferty, bez prawa do żądania zwrotu tychże kosztów przez Organizatora Przetargu.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 Ogłoszenie o Przetargu</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20" w:line="276" w:lineRule="auto"/>
        <w:ind w:left="567"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Ogłoszenie o Przetargu zostanie podane do publicznej wiadomości w formie komunikatu zamieszczonego na stronie internetowej Organizatora: … oraz na stronie internetowej Powiatu Grójeckiego: </w:t>
      </w:r>
      <w:r w:rsidDel="00000000" w:rsidR="00000000" w:rsidRPr="00000000">
        <w:rPr>
          <w:rFonts w:ascii="Arial" w:cs="Arial" w:eastAsia="Arial" w:hAnsi="Arial"/>
          <w:b w:val="1"/>
          <w:sz w:val="22"/>
          <w:szCs w:val="22"/>
          <w:rtl w:val="0"/>
        </w:rPr>
        <w:t xml:space="preserve">bip.grojecmiasto.pl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 zakładce: ogłoszenia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Strona Internetowa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567"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Ogłoszenie powinno zawierać co najmniej informacje o:</w:t>
      </w:r>
    </w:p>
    <w:p w:rsidR="00000000" w:rsidDel="00000000" w:rsidP="00000000" w:rsidRDefault="00000000" w:rsidRPr="00000000" w14:paraId="0000002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możliwości składania ofert;</w:t>
      </w:r>
    </w:p>
    <w:p w:rsidR="00000000" w:rsidDel="00000000" w:rsidP="00000000" w:rsidRDefault="00000000" w:rsidRPr="00000000" w14:paraId="0000002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terminie, do którego należy składać oferty;</w:t>
      </w:r>
    </w:p>
    <w:p w:rsidR="00000000" w:rsidDel="00000000" w:rsidP="00000000" w:rsidRDefault="00000000" w:rsidRPr="00000000" w14:paraId="0000002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miejscu i sposobie składania ofert;</w:t>
      </w:r>
    </w:p>
    <w:p w:rsidR="00000000" w:rsidDel="00000000" w:rsidP="00000000" w:rsidRDefault="00000000" w:rsidRPr="00000000" w14:paraId="0000002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opis i przedmiot zadania inwestycyjnego, </w:t>
      </w:r>
    </w:p>
    <w:p w:rsidR="00000000" w:rsidDel="00000000" w:rsidP="00000000" w:rsidRDefault="00000000" w:rsidRPr="00000000" w14:paraId="0000002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terminie i miejscu przeprowadzenia Przetargu;</w:t>
      </w:r>
    </w:p>
    <w:p w:rsidR="00000000" w:rsidDel="00000000" w:rsidP="00000000" w:rsidRDefault="00000000" w:rsidRPr="00000000" w14:paraId="0000002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terminie otwarcia ofert przez Organizatora Przetargu;</w:t>
      </w:r>
    </w:p>
    <w:p w:rsidR="00000000" w:rsidDel="00000000" w:rsidP="00000000" w:rsidRDefault="00000000" w:rsidRPr="00000000" w14:paraId="0000002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warunki udziału w przetargu, </w:t>
      </w:r>
    </w:p>
    <w:p w:rsidR="00000000" w:rsidDel="00000000" w:rsidP="00000000" w:rsidRDefault="00000000" w:rsidRPr="00000000" w14:paraId="0000002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możliwości zapoznania się z  obiektem oraz </w:t>
      </w:r>
      <w:r w:rsidDel="00000000" w:rsidR="00000000" w:rsidRPr="00000000">
        <w:rPr>
          <w:rFonts w:ascii="Arial" w:cs="Arial" w:eastAsia="Arial" w:hAnsi="Arial"/>
          <w:sz w:val="22"/>
          <w:szCs w:val="22"/>
          <w:rtl w:val="0"/>
        </w:rPr>
        <w:t xml:space="preserve">programem prac konserwatorskich zatwierdzonym przez Urząd Konserwatora Zabytków,</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przedstawicielu Organizatora Przetargu, z którym należy kontaktować się;</w:t>
      </w:r>
    </w:p>
    <w:p w:rsidR="00000000" w:rsidDel="00000000" w:rsidP="00000000" w:rsidRDefault="00000000" w:rsidRPr="00000000" w14:paraId="0000003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2"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zastrzeżenie, że Organizatorowi Przetargu przysługuje prawo odwołania Przetargu oraz zamknięcia Przetargu bez wyboru którejkolwiek z ofert.</w:t>
      </w:r>
    </w:p>
    <w:p w:rsidR="00000000" w:rsidDel="00000000" w:rsidP="00000000" w:rsidRDefault="00000000" w:rsidRPr="00000000" w14:paraId="0000003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567"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jest uprawniony do przedłużenia terminu składania ofert. Organizator Przetargu zamieści stosowną informację o przedłużeniu terminu składania ofert na Stronie Internetowej.</w:t>
      </w:r>
    </w:p>
    <w:p w:rsidR="00000000" w:rsidDel="00000000" w:rsidP="00000000" w:rsidRDefault="00000000" w:rsidRPr="00000000" w14:paraId="0000003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0" w:line="276" w:lineRule="auto"/>
        <w:ind w:left="56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określa w ogłoszeniu o Przetargu, czy cena wywoławcza jest ceną netto (tj. czy należy ją powiększyć o podatek od towarów i usług VAT), czy też ceną brutto (zawierającą podatek od towarów i usług VAT) .</w:t>
      </w:r>
      <w:r w:rsidDel="00000000" w:rsidR="00000000" w:rsidRPr="00000000">
        <w:rPr>
          <w:rtl w:val="0"/>
        </w:rPr>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6 Komisja Przetargowa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Czynności związane z przeprowadzeniem przetargu wykonuje Komisja Przetargowa wyznaczona przez</w:t>
      </w:r>
      <w:r w:rsidDel="00000000" w:rsidR="00000000" w:rsidRPr="00000000">
        <w:rPr>
          <w:rFonts w:ascii="Arial" w:cs="Arial" w:eastAsia="Arial" w:hAnsi="Arial"/>
          <w:sz w:val="22"/>
          <w:szCs w:val="22"/>
          <w:rtl w:val="0"/>
        </w:rPr>
        <w:t xml:space="preserve"> Proboszcza parafii św. Floriana Męczennika w Mogielnicy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(zwana dalej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Komisją Przetargową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skład Komisji Przetargowej wchodzą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proboszcz Parafii – Przewodniczący Komisji;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dwóch przedstawicieli Rady Parafialnej, wybranych przez członków .</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Pracami Komisji kieruje Przewodniczący Komisji Przetargowej.</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Komisja podejmuje rozstrzygnięcia w drodze głosowania, w przypadku równej liczby głosów decyduje głos Przewodniczącego.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56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Komisja działa na podstawie niniejszego Regulaminu oraz obowiązujących przepisów prawa.</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 Przetarg</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Przetarg odbywa się w trybie niejawnym.</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wcześniej niż w terminie 7 (siedmiu) dni po upływie terminu na przesłanie ofert, Przewodniczący Komisji Przetargowej ustala liczbę otrzymanych ofert.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Komisja Przetargowa:</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otwiera koperty z ofertami, dokonuje szczegółowej analizy ofert, a następnie odrzuca oferty nie odpowiadające warunkom przetargu,</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wybiera najkorzystniejszą z ofert,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sporządza protokół przebiegu Przetargu.</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Oferenci nie są uprawnieni do udziału w czynnościach przeprowadzanych w ramach Przetargu. Organizator Przetargu nie jest ograniczony w podejmowaniu decyzji o wyborze najkorzystniejszej oferty, co w szczególności oznacza, że dokonuje wyboru według własnego uznania. W celu uniknięcia wątpliwości, Organizator Przetargu nie jest zobowiązany do uzasadnienia wyboru danej oferty.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może odmówić zakwalifikowania ofert do dalszej części procedury Przetargu, jeżeli:</w:t>
      </w:r>
    </w:p>
    <w:p w:rsidR="00000000" w:rsidDel="00000000" w:rsidP="00000000" w:rsidRDefault="00000000" w:rsidRPr="00000000" w14:paraId="0000004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spełniają wymogów określonych w niniejszym Regulaminie lub ogłoszeniu o Przetargu;</w:t>
      </w:r>
    </w:p>
    <w:p w:rsidR="00000000" w:rsidDel="00000000" w:rsidP="00000000" w:rsidRDefault="00000000" w:rsidRPr="00000000" w14:paraId="0000004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12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są nieczytelne lub budzą wątpliwości co do ich treści.</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poinformuje o skorzystaniu przez niego z uprawnień, o których mowa w §7 niniejszego Regulaminu na zasadach przewidzianych dla Powiadomień, określonych w §10 niniejszego Regulaminu.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podpisania protokołu jest datą zakończenia Przetargu.</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wyniku przetargu Komisja Przetargowa zawiadamia oferentów w terminie 14 (czternastu) dni od dnia zakończenia Przetargu, zgodnie z zasadami dotyczącymi Powiadomień, przewidzianymi w § 10 niniejszego Regulaminu.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Przetarg jest ważny bez względu na liczbę Oferentów. Przetarg może się odbyć w szczególności wówczas, gdy wpłynęła tylko jedna oferta.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56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Przetarg uważa się za zakończony wynikiem negatywnym, jeżeli nie wpłynęła ani jedna oferta spełniająca warunki określone niniejszym Regulaminem albo jeżeli zaoferowano cenę wyższą od otrzymanych przez Parafię środków finansowych określonych we wstępnej promesie dofinansowania z Rządowego Programu Odbudowy Zabytków nr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RPOZ/2022/</w:t>
      </w:r>
      <w:r w:rsidDel="00000000" w:rsidR="00000000" w:rsidRPr="00000000">
        <w:rPr>
          <w:rFonts w:ascii="Arial" w:cs="Arial" w:eastAsia="Arial" w:hAnsi="Arial"/>
          <w:sz w:val="22"/>
          <w:szCs w:val="22"/>
          <w:rtl w:val="0"/>
        </w:rPr>
        <w:t xml:space="preserve">8063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/PolskiLad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także w sytuacji gdy Przetarg został ogłoszony i nikt do niego nie przystąpił. </w:t>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 Protokół z Przetargu</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Protokół z przeprowadzonego Przetargu zawiera w szczególności następujące informacje:</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 miejsce oraz rodzaj Przetargu,</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oznaczenie przedmiot zadania inwestycyjnego,</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wskazanie  liczby ofert jakie wpłynęły, </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wskazanie osób dopuszczonych i niedopuszczonych do Przetargu wraz z uzasadnieniem,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wysokość środków finansowych określonych we wstępnej promesie dofinansowania z Rządowego Programu Odbudowy Zabytków nr </w:t>
      </w:r>
      <w:r w:rsidDel="00000000" w:rsidR="00000000" w:rsidRPr="00000000">
        <w:rPr>
          <w:rFonts w:ascii="Arial" w:cs="Arial" w:eastAsia="Arial" w:hAnsi="Arial"/>
          <w:sz w:val="22"/>
          <w:szCs w:val="22"/>
          <w:rtl w:val="0"/>
        </w:rPr>
        <w:t xml:space="preserve">RPOZ/2022/8063/PolskiLad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najniższą wysokość wynagrodzenia osiągniętą w Przetargu,</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rozstrzygnięcie podjęte przez Komisję Przetargową wraz z uzasadnieniem,</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imię i nazwisko i adres lub nazwę (firmę) oraz siedzibę osoby wyłonionej jako zwycięzca Przetargu,</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imiona i nazwiska Przewodniczącego i członków Komisji Przetargowej,</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datę sporządzenia protokołu.</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Protokół z przeprowadzonego przetargu sporządza się w trzech jednobrzmiących egzemplarzach. Protokół podpisują członkowie Komisji Przetargowej.</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9 Zawarcie umowy</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Protokół z przeprowadzonego Przetargu stanowi podstawę do zawarcia umowy …. .</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Oferent, którego oferta zostanie wybrana, zostanie powiadomiony o terminie i miejscu zawarcia umowy najpóźniej w terminie 14 (czternastu) dni od dnia rozstrzygnięcia Przetargu. Powiadomienie, o którym mowa w zdaniu poprzednim nastąpi na zasadach przewidzianych dla Powiadomień, określonych w §10 niniejszego Regulaminu.</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Oferent zobowiązany jest stawić się do zawarcia umowy ….. (i odpowiednio – przedwstępnej umowy sprzedaży, jeśli znajduje to zastosowanie) w terminie i miejscu wyznaczonym przez Organizatora Przetargu.</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10 Powiadomienia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Wszelkie powiadomienia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Powiadomienia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związane z Przetargiem, dokonywane przez Organizatora Przetargu mogą być dokonywane – wedle uznania Organizatora Przetargu – w następujący sposób:</w:t>
      </w:r>
    </w:p>
    <w:p w:rsidR="00000000" w:rsidDel="00000000" w:rsidP="00000000" w:rsidRDefault="00000000" w:rsidRPr="00000000" w14:paraId="00000061">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poprzez umieszczenie stosownej informacji na Stronie Internetowej; lub</w:t>
      </w:r>
    </w:p>
    <w:p w:rsidR="00000000" w:rsidDel="00000000" w:rsidP="00000000" w:rsidRDefault="00000000" w:rsidRPr="00000000" w14:paraId="00000062">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poprzez indywidualne powiadomienie poszczególnych Oferentów na piśmie, na adres korespondencyjny wskazany w ofercie lub inny adres wskazany przez Oferenta. </w:t>
      </w:r>
    </w:p>
    <w:p w:rsidR="00000000" w:rsidDel="00000000" w:rsidP="00000000" w:rsidRDefault="00000000" w:rsidRPr="00000000" w14:paraId="00000063">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Dla potrzeb niniejszego Regulaminu przez formę pisemną należy rozumieć także powiadomienie za pośrednictwem poczty elektronicznej, na adres email wskazany w ofercie lub inny adres wskazany przez Oferenta jako kontaktowy. Przepisów o bezpiecznym podpisie elektronicznym, tj. w szczególności przepisów ustawy z dnia 18 września 2001 r. o podpisie elektronicznym, nie stosuje się.</w:t>
      </w:r>
    </w:p>
    <w:p w:rsidR="00000000" w:rsidDel="00000000" w:rsidP="00000000" w:rsidRDefault="00000000" w:rsidRPr="00000000" w14:paraId="00000064">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Wszelkie Powiadomienia dokonywane na adresy korespondencyjne Oferentów uważa się z</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skutecznie doręczone po upływie 7 (siedmiu) dni od dnia nadania przesyłki poleconej. W przypadku Powiadomień wysyłanych pocztą elektroniczną, Powiadomienie uważa się za doręczone z chwilą zarejestrowania wiadomości na serwerze adresata, a w przypadku, gdyby taka rejestracja nie została dokonana z przyczyn leżących po stronie adresata – z chwilą jej wysłania przez Organizatora Przetargu.</w:t>
      </w:r>
    </w:p>
    <w:p w:rsidR="00000000" w:rsidDel="00000000" w:rsidP="00000000" w:rsidRDefault="00000000" w:rsidRPr="00000000" w14:paraId="00000065">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Zasady dotyczące Powiadomień znajdują zastosowanie w szczególności, lecz nie wyłącznie, do:</w:t>
      </w:r>
    </w:p>
    <w:p w:rsidR="00000000" w:rsidDel="00000000" w:rsidP="00000000" w:rsidRDefault="00000000" w:rsidRPr="00000000" w14:paraId="00000066">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wezwania Oferentów do uzupełnienia, doprecyzowania lub wyjaśnienia ofert;</w:t>
      </w:r>
    </w:p>
    <w:p w:rsidR="00000000" w:rsidDel="00000000" w:rsidP="00000000" w:rsidRDefault="00000000" w:rsidRPr="00000000" w14:paraId="00000067">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poinformowania o skorzystaniu przez Organizatora Przetargu z uprawnień, o których mowa w § 7 niniejszego Regulaminu;</w:t>
      </w:r>
    </w:p>
    <w:p w:rsidR="00000000" w:rsidDel="00000000" w:rsidP="00000000" w:rsidRDefault="00000000" w:rsidRPr="00000000" w14:paraId="00000068">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informacji o przedłużeniu terminu do rozstrzygnięcia Przetargu;</w:t>
      </w:r>
    </w:p>
    <w:p w:rsidR="00000000" w:rsidDel="00000000" w:rsidP="00000000" w:rsidRDefault="00000000" w:rsidRPr="00000000" w14:paraId="00000069">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powiadomienia Oferentów o wyniku Przetargu;</w:t>
      </w:r>
    </w:p>
    <w:p w:rsidR="00000000" w:rsidDel="00000000" w:rsidP="00000000" w:rsidRDefault="00000000" w:rsidRPr="00000000" w14:paraId="0000006A">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12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powiadomienia Oferenta, którego oferta została wybrana, o terminie i miejscu zawarcia umowy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11  Postanowienia końcowe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Wszelkie rozstrzygnięcia Komisji Przetargowej są ostateczne i nie podlegają zaskarżeniu, z zastrzeżeniem obowiązujących przepisów prawa.</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Organizator Przetargu może odwołać lub unieważnić ogłoszony Przetarg </w:t>
        <w:br w:type="textWrapping"/>
        <w:t xml:space="preserve">w każdym czasie bez podania przyczyny. Z odwołaniem przetargu równoznaczne jest zamkni</w:t>
      </w:r>
      <w:r w:rsidDel="00000000" w:rsidR="00000000" w:rsidRPr="00000000">
        <w:rPr>
          <w:rFonts w:ascii="Arial" w:cs="Arial" w:eastAsia="Arial" w:hAnsi="Arial"/>
          <w:sz w:val="22"/>
          <w:szCs w:val="22"/>
          <w:rtl w:val="0"/>
        </w:rPr>
        <w:t xml:space="preserve">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cie Przetargu przez Organizatora Przetargu bez wyboru oferty.</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Uczestnictwo w Przetargu oznacza potwierdzenie, że Oferent zapoznał się z niniejszym Regulaminem, zrozumiał jego treść, przyjmuje go bez zastrzeżeń oraz zobowiązany jest do jego przestrzegania.</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851" w:left="1417" w:right="1417" w:header="42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434" w:hanging="360"/>
      </w:pPr>
      <w:rPr>
        <w:vertAlign w:val="baseline"/>
      </w:rPr>
    </w:lvl>
    <w:lvl w:ilvl="1">
      <w:start w:val="1"/>
      <w:numFmt w:val="lowerLetter"/>
      <w:lvlText w:val="%2."/>
      <w:lvlJc w:val="left"/>
      <w:pPr>
        <w:ind w:left="2154" w:hanging="360"/>
      </w:pPr>
      <w:rPr>
        <w:vertAlign w:val="baseline"/>
      </w:rPr>
    </w:lvl>
    <w:lvl w:ilvl="2">
      <w:start w:val="1"/>
      <w:numFmt w:val="lowerRoman"/>
      <w:lvlText w:val="%3."/>
      <w:lvlJc w:val="right"/>
      <w:pPr>
        <w:ind w:left="2874" w:hanging="180"/>
      </w:pPr>
      <w:rPr>
        <w:vertAlign w:val="baseline"/>
      </w:rPr>
    </w:lvl>
    <w:lvl w:ilvl="3">
      <w:start w:val="1"/>
      <w:numFmt w:val="decimal"/>
      <w:lvlText w:val="%4."/>
      <w:lvlJc w:val="left"/>
      <w:pPr>
        <w:ind w:left="3594" w:hanging="360"/>
      </w:pPr>
      <w:rPr>
        <w:vertAlign w:val="baseline"/>
      </w:rPr>
    </w:lvl>
    <w:lvl w:ilvl="4">
      <w:start w:val="1"/>
      <w:numFmt w:val="lowerLetter"/>
      <w:lvlText w:val="%5."/>
      <w:lvlJc w:val="left"/>
      <w:pPr>
        <w:ind w:left="4314" w:hanging="360"/>
      </w:pPr>
      <w:rPr>
        <w:vertAlign w:val="baseline"/>
      </w:rPr>
    </w:lvl>
    <w:lvl w:ilvl="5">
      <w:start w:val="1"/>
      <w:numFmt w:val="lowerRoman"/>
      <w:lvlText w:val="%6."/>
      <w:lvlJc w:val="right"/>
      <w:pPr>
        <w:ind w:left="5034" w:hanging="180"/>
      </w:pPr>
      <w:rPr>
        <w:vertAlign w:val="baseline"/>
      </w:rPr>
    </w:lvl>
    <w:lvl w:ilvl="6">
      <w:start w:val="1"/>
      <w:numFmt w:val="decimal"/>
      <w:lvlText w:val="%7."/>
      <w:lvlJc w:val="left"/>
      <w:pPr>
        <w:ind w:left="5754" w:hanging="360"/>
      </w:pPr>
      <w:rPr>
        <w:vertAlign w:val="baseline"/>
      </w:rPr>
    </w:lvl>
    <w:lvl w:ilvl="7">
      <w:start w:val="1"/>
      <w:numFmt w:val="lowerLetter"/>
      <w:lvlText w:val="%8."/>
      <w:lvlJc w:val="left"/>
      <w:pPr>
        <w:ind w:left="6474" w:hanging="360"/>
      </w:pPr>
      <w:rPr>
        <w:vertAlign w:val="baseline"/>
      </w:rPr>
    </w:lvl>
    <w:lvl w:ilvl="8">
      <w:start w:val="1"/>
      <w:numFmt w:val="lowerRoman"/>
      <w:lvlText w:val="%9."/>
      <w:lvlJc w:val="right"/>
      <w:pPr>
        <w:ind w:left="7194" w:hanging="180"/>
      </w:pPr>
      <w:rPr>
        <w:vertAlign w:val="baseline"/>
      </w:rPr>
    </w:lvl>
  </w:abstractNum>
  <w:abstractNum w:abstractNumId="4">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34" w:hanging="360"/>
      </w:pPr>
      <w:rPr>
        <w:vertAlign w:val="baseline"/>
      </w:rPr>
    </w:lvl>
    <w:lvl w:ilvl="1">
      <w:start w:val="1"/>
      <w:numFmt w:val="lowerLetter"/>
      <w:lvlText w:val="%2."/>
      <w:lvlJc w:val="left"/>
      <w:pPr>
        <w:ind w:left="2154" w:hanging="360"/>
      </w:pPr>
      <w:rPr>
        <w:vertAlign w:val="baseline"/>
      </w:rPr>
    </w:lvl>
    <w:lvl w:ilvl="2">
      <w:start w:val="1"/>
      <w:numFmt w:val="lowerRoman"/>
      <w:lvlText w:val="%3."/>
      <w:lvlJc w:val="right"/>
      <w:pPr>
        <w:ind w:left="2874" w:hanging="180"/>
      </w:pPr>
      <w:rPr>
        <w:vertAlign w:val="baseline"/>
      </w:rPr>
    </w:lvl>
    <w:lvl w:ilvl="3">
      <w:start w:val="1"/>
      <w:numFmt w:val="decimal"/>
      <w:lvlText w:val="%4."/>
      <w:lvlJc w:val="left"/>
      <w:pPr>
        <w:ind w:left="3594" w:hanging="360"/>
      </w:pPr>
      <w:rPr>
        <w:vertAlign w:val="baseline"/>
      </w:rPr>
    </w:lvl>
    <w:lvl w:ilvl="4">
      <w:start w:val="1"/>
      <w:numFmt w:val="lowerLetter"/>
      <w:lvlText w:val="%5."/>
      <w:lvlJc w:val="left"/>
      <w:pPr>
        <w:ind w:left="4314" w:hanging="360"/>
      </w:pPr>
      <w:rPr>
        <w:vertAlign w:val="baseline"/>
      </w:rPr>
    </w:lvl>
    <w:lvl w:ilvl="5">
      <w:start w:val="1"/>
      <w:numFmt w:val="lowerRoman"/>
      <w:lvlText w:val="%6."/>
      <w:lvlJc w:val="right"/>
      <w:pPr>
        <w:ind w:left="5034" w:hanging="180"/>
      </w:pPr>
      <w:rPr>
        <w:vertAlign w:val="baseline"/>
      </w:rPr>
    </w:lvl>
    <w:lvl w:ilvl="6">
      <w:start w:val="1"/>
      <w:numFmt w:val="decimal"/>
      <w:lvlText w:val="%7."/>
      <w:lvlJc w:val="left"/>
      <w:pPr>
        <w:ind w:left="5754" w:hanging="360"/>
      </w:pPr>
      <w:rPr>
        <w:vertAlign w:val="baseline"/>
      </w:rPr>
    </w:lvl>
    <w:lvl w:ilvl="7">
      <w:start w:val="1"/>
      <w:numFmt w:val="lowerLetter"/>
      <w:lvlText w:val="%8."/>
      <w:lvlJc w:val="left"/>
      <w:pPr>
        <w:ind w:left="6474" w:hanging="360"/>
      </w:pPr>
      <w:rPr>
        <w:vertAlign w:val="baseline"/>
      </w:rPr>
    </w:lvl>
    <w:lvl w:ilvl="8">
      <w:start w:val="1"/>
      <w:numFmt w:val="lowerRoman"/>
      <w:lvlText w:val="%9."/>
      <w:lvlJc w:val="right"/>
      <w:pPr>
        <w:ind w:left="7194" w:hanging="180"/>
      </w:pPr>
      <w:rPr>
        <w:vertAlign w:val="baseline"/>
      </w:rPr>
    </w:lvl>
  </w:abstractNum>
  <w:abstractNum w:abstractNumId="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1287" w:hanging="360.0000000000001"/>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1151" w:hanging="360"/>
      </w:pPr>
      <w:rPr>
        <w:b w:val="0"/>
        <w:vertAlign w:val="baseline"/>
      </w:rPr>
    </w:lvl>
    <w:lvl w:ilvl="1">
      <w:start w:val="1"/>
      <w:numFmt w:val="lowerLetter"/>
      <w:lvlText w:val="%2)"/>
      <w:lvlJc w:val="left"/>
      <w:pPr>
        <w:ind w:left="928" w:hanging="360"/>
      </w:pPr>
      <w:rPr>
        <w:b w:val="0"/>
        <w:vertAlign w:val="baseline"/>
      </w:rPr>
    </w:lvl>
    <w:lvl w:ilvl="2">
      <w:start w:val="1"/>
      <w:numFmt w:val="lowerRoman"/>
      <w:lvlText w:val="(%3)"/>
      <w:lvlJc w:val="right"/>
      <w:pPr>
        <w:ind w:left="2024"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b w:val="0"/>
        <w:vertAlign w:val="baseline"/>
      </w:rPr>
    </w:lvl>
    <w:lvl w:ilvl="3">
      <w:start w:val="1"/>
      <w:numFmt w:val="lowerLetter"/>
      <w:lvlText w:val="%4)"/>
      <w:lvlJc w:val="left"/>
      <w:pPr>
        <w:ind w:left="2880" w:hanging="360"/>
      </w:pPr>
      <w:rPr>
        <w:b w:val="0"/>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Nagłówek">
    <w:name w:val="Nagłówek"/>
    <w:basedOn w:val="Normalny"/>
    <w:next w:val="Nagłówe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
    <w:name w:val="Nagłówek Znak"/>
    <w:basedOn w:val="Domyślnaczcionkaakapitu"/>
    <w:next w:val="Nagłówek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paragraph" w:styleId="Akapitzlistą">
    <w:name w:val="Akapit z listą"/>
    <w:basedOn w:val="Normalny"/>
    <w:next w:val="Akapitzlistą"/>
    <w:autoRedefine w:val="0"/>
    <w:hidden w:val="0"/>
    <w:qFormat w:val="0"/>
    <w:pPr>
      <w:widowControl w:val="0"/>
      <w:suppressAutoHyphens w:val="1"/>
      <w:autoSpaceDE w:val="0"/>
      <w:autoSpaceDN w:val="0"/>
      <w:adjustRightInd w:val="0"/>
      <w:spacing w:after="0" w:line="240" w:lineRule="auto"/>
      <w:ind w:left="720" w:leftChars="-1" w:rightChars="0" w:firstLineChars="-1"/>
      <w:contextualSpacing w:val="1"/>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pl-PL" w:val="pl-PL"/>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Poprawka">
    <w:name w:val="Poprawka"/>
    <w:next w:val="Poprawk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ysGBArlrEPt4AEw17ANsU+OjA==">CgMxLjA4AHIhMWh1MERKTVBLczJGZjVCSks1VUZ4SHc5X1Z5aDN5Mlhl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2024-02-10T16:57:00Z</dcterms:created>
  <dc:creator/>
</cp:coreProperties>
</file>

<file path=docProps/custom.xml><?xml version="1.0" encoding="utf-8"?>
<Properties xmlns="http://schemas.openxmlformats.org/officeDocument/2006/custom-properties" xmlns:vt="http://schemas.openxmlformats.org/officeDocument/2006/docPropsVTypes"/>
</file>